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451"/>
        <w:gridCol w:w="2273"/>
        <w:gridCol w:w="2125"/>
        <w:gridCol w:w="4111"/>
        <w:gridCol w:w="4256"/>
      </w:tblGrid>
      <w:tr w:rsidR="007824E7" w:rsidRPr="00785C88" w14:paraId="77EA45AA" w14:textId="77777777" w:rsidTr="007824E7">
        <w:trPr>
          <w:trHeight w:val="58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9B6123" w14:textId="77777777" w:rsidR="007824E7" w:rsidRDefault="007824E7" w:rsidP="001044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1B49CB" w:rsidRPr="00785C88" w14:paraId="0D5C6BBF" w14:textId="77777777" w:rsidTr="007824E7">
        <w:trPr>
          <w:trHeight w:val="583"/>
        </w:trPr>
        <w:tc>
          <w:tcPr>
            <w:tcW w:w="5000" w:type="pct"/>
            <w:gridSpan w:val="6"/>
            <w:tcBorders>
              <w:top w:val="single" w:sz="4" w:space="0" w:color="auto"/>
            </w:tcBorders>
            <w:vAlign w:val="bottom"/>
          </w:tcPr>
          <w:p w14:paraId="5DBBEC13" w14:textId="3EA49A4F" w:rsidR="001044F8" w:rsidRDefault="0039245F" w:rsidP="001044F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We</w:t>
            </w:r>
            <w:r w:rsidR="001044F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propose that the first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11 </w:t>
            </w:r>
            <w:r w:rsidR="001044F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people in this table be invited to join the FFRs expert advisory group. </w:t>
            </w:r>
            <w:r w:rsidR="00C51BB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Bearing in mind the </w:t>
            </w:r>
            <w:proofErr w:type="spellStart"/>
            <w:r w:rsidR="00C51BB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ToR</w:t>
            </w:r>
            <w:proofErr w:type="spellEnd"/>
            <w:r w:rsidR="00C51BB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document circulated w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e would welcome your feedback on this – to this end we have included two columns covering your thoughts on each </w:t>
            </w:r>
            <w:r w:rsidR="00C51BB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candidate’s expertise and potential biases/ interest.</w:t>
            </w:r>
          </w:p>
        </w:tc>
      </w:tr>
      <w:tr w:rsidR="00ED6920" w:rsidRPr="00785C88" w14:paraId="45814049" w14:textId="08BA4F72" w:rsidTr="001943B0">
        <w:trPr>
          <w:trHeight w:val="420"/>
        </w:trPr>
        <w:tc>
          <w:tcPr>
            <w:tcW w:w="1667" w:type="pct"/>
            <w:gridSpan w:val="3"/>
            <w:vAlign w:val="bottom"/>
          </w:tcPr>
          <w:p w14:paraId="6A83F9E2" w14:textId="77777777" w:rsidR="00ED6920" w:rsidRPr="00785C88" w:rsidRDefault="00ED6920" w:rsidP="00D50B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85C8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Suggestions for 2020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expert </w:t>
            </w:r>
            <w:r w:rsidRPr="00785C88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advisory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group</w:t>
            </w:r>
          </w:p>
        </w:tc>
        <w:tc>
          <w:tcPr>
            <w:tcW w:w="675" w:type="pct"/>
            <w:vAlign w:val="bottom"/>
          </w:tcPr>
          <w:p w14:paraId="641645D1" w14:textId="77777777" w:rsidR="00ED6920" w:rsidRPr="00872EFD" w:rsidRDefault="00ED6920" w:rsidP="00D50B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872EF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Comments</w:t>
            </w:r>
          </w:p>
        </w:tc>
        <w:tc>
          <w:tcPr>
            <w:tcW w:w="1306" w:type="pct"/>
            <w:vAlign w:val="bottom"/>
          </w:tcPr>
          <w:p w14:paraId="453B45C8" w14:textId="4B93A903" w:rsidR="00ED6920" w:rsidRPr="00872EFD" w:rsidRDefault="00C928BA" w:rsidP="00D50B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Expertise</w:t>
            </w:r>
          </w:p>
        </w:tc>
        <w:tc>
          <w:tcPr>
            <w:tcW w:w="1352" w:type="pct"/>
            <w:vAlign w:val="bottom"/>
          </w:tcPr>
          <w:p w14:paraId="6E867991" w14:textId="5B299A53" w:rsidR="00ED6920" w:rsidRPr="00872EFD" w:rsidRDefault="00C928BA" w:rsidP="00D50B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Potential biases/ interest</w:t>
            </w:r>
          </w:p>
        </w:tc>
      </w:tr>
      <w:tr w:rsidR="00B561D4" w14:paraId="429C9A22" w14:textId="77777777" w:rsidTr="001943B0">
        <w:trPr>
          <w:trHeight w:val="233"/>
        </w:trPr>
        <w:tc>
          <w:tcPr>
            <w:tcW w:w="484" w:type="pct"/>
          </w:tcPr>
          <w:p w14:paraId="188BEED3" w14:textId="77777777" w:rsidR="00B561D4" w:rsidRPr="00785C88" w:rsidRDefault="00B561D4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Toxicology</w:t>
            </w:r>
          </w:p>
        </w:tc>
        <w:tc>
          <w:tcPr>
            <w:tcW w:w="461" w:type="pct"/>
            <w:shd w:val="clear" w:color="auto" w:fill="auto"/>
            <w:noWrap/>
          </w:tcPr>
          <w:p w14:paraId="4B55D7B6" w14:textId="77777777" w:rsidR="00B561D4" w:rsidRPr="00A476C3" w:rsidRDefault="00B561D4" w:rsidP="0044399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476C3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Prof Tim Gant</w:t>
            </w:r>
          </w:p>
        </w:tc>
        <w:tc>
          <w:tcPr>
            <w:tcW w:w="722" w:type="pct"/>
          </w:tcPr>
          <w:p w14:paraId="374150C3" w14:textId="77777777" w:rsidR="00B561D4" w:rsidRPr="00785C88" w:rsidRDefault="00B561D4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785C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Head of the Dept. of Toxicology, PHE</w:t>
            </w:r>
          </w:p>
        </w:tc>
        <w:tc>
          <w:tcPr>
            <w:tcW w:w="675" w:type="pct"/>
          </w:tcPr>
          <w:p w14:paraId="5FC4150A" w14:textId="77777777" w:rsidR="00B561D4" w:rsidRDefault="00B561D4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Could be the Chair of the expert group.</w:t>
            </w:r>
          </w:p>
          <w:p w14:paraId="0068166D" w14:textId="77777777" w:rsidR="00B561D4" w:rsidRDefault="00B561D4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  <w:p w14:paraId="3430F564" w14:textId="77777777" w:rsidR="00B561D4" w:rsidRPr="00785C88" w:rsidRDefault="00B561D4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6" w:type="pct"/>
          </w:tcPr>
          <w:p w14:paraId="7FCF91FA" w14:textId="77777777" w:rsidR="00B561D4" w:rsidRDefault="00B561D4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</w:tcPr>
          <w:p w14:paraId="59202E49" w14:textId="6F0BF81A" w:rsidR="00B561D4" w:rsidRPr="001943B0" w:rsidRDefault="00B561D4" w:rsidP="001943B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D6920" w:rsidRPr="00785C88" w14:paraId="6A8DB35E" w14:textId="54744263" w:rsidTr="001943B0">
        <w:trPr>
          <w:trHeight w:val="233"/>
        </w:trPr>
        <w:tc>
          <w:tcPr>
            <w:tcW w:w="484" w:type="pct"/>
          </w:tcPr>
          <w:p w14:paraId="3099283E" w14:textId="77777777" w:rsidR="00ED6920" w:rsidRPr="00785C88" w:rsidRDefault="00ED6920" w:rsidP="00D50B7E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Fire knowledge</w:t>
            </w:r>
          </w:p>
        </w:tc>
        <w:tc>
          <w:tcPr>
            <w:tcW w:w="461" w:type="pct"/>
            <w:shd w:val="clear" w:color="auto" w:fill="auto"/>
            <w:noWrap/>
          </w:tcPr>
          <w:p w14:paraId="7EA9A744" w14:textId="77777777" w:rsidR="00ED6920" w:rsidRPr="00ED6A62" w:rsidRDefault="00ED6920" w:rsidP="00D50B7E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ED6A62"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  <w:t>Charlie Pugsley</w:t>
            </w:r>
          </w:p>
        </w:tc>
        <w:tc>
          <w:tcPr>
            <w:tcW w:w="722" w:type="pct"/>
          </w:tcPr>
          <w:p w14:paraId="4D82C640" w14:textId="77777777" w:rsidR="00ED6920" w:rsidRPr="00507768" w:rsidRDefault="00ED6920" w:rsidP="00D50B7E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507768">
              <w:rPr>
                <w:sz w:val="18"/>
                <w:szCs w:val="18"/>
              </w:rPr>
              <w:t xml:space="preserve">Rick </w:t>
            </w:r>
            <w:proofErr w:type="spellStart"/>
            <w:r w:rsidRPr="00507768">
              <w:rPr>
                <w:sz w:val="18"/>
                <w:szCs w:val="18"/>
              </w:rPr>
              <w:t>Hylton</w:t>
            </w:r>
            <w:proofErr w:type="spellEnd"/>
            <w:r w:rsidRPr="00507768">
              <w:rPr>
                <w:sz w:val="18"/>
                <w:szCs w:val="18"/>
              </w:rPr>
              <w:t xml:space="preserve"> has delegated to Charley Pugsley</w:t>
            </w:r>
          </w:p>
        </w:tc>
        <w:tc>
          <w:tcPr>
            <w:tcW w:w="675" w:type="pct"/>
          </w:tcPr>
          <w:p w14:paraId="2CFC6A7B" w14:textId="6A1CC4F4" w:rsidR="00ED6920" w:rsidRPr="00785C88" w:rsidRDefault="00A26A6F" w:rsidP="00D50B7E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Fire service view</w:t>
            </w:r>
          </w:p>
        </w:tc>
        <w:tc>
          <w:tcPr>
            <w:tcW w:w="1306" w:type="pct"/>
          </w:tcPr>
          <w:p w14:paraId="473771DA" w14:textId="7A0BFFE8" w:rsidR="00ED6920" w:rsidRPr="001943B0" w:rsidRDefault="00ED6920" w:rsidP="001943B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</w:tcPr>
          <w:p w14:paraId="0B23C24F" w14:textId="77777777" w:rsidR="00ED6920" w:rsidRPr="00785C88" w:rsidRDefault="00ED6920" w:rsidP="00D50B7E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D6920" w:rsidRPr="00785C88" w14:paraId="6D0018F7" w14:textId="3DCCEEEE" w:rsidTr="001943B0">
        <w:trPr>
          <w:trHeight w:val="233"/>
        </w:trPr>
        <w:tc>
          <w:tcPr>
            <w:tcW w:w="484" w:type="pct"/>
          </w:tcPr>
          <w:p w14:paraId="59271050" w14:textId="77777777" w:rsidR="00ED6920" w:rsidRDefault="00ED6920" w:rsidP="00D50B7E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Scope, conformity</w:t>
            </w:r>
          </w:p>
        </w:tc>
        <w:tc>
          <w:tcPr>
            <w:tcW w:w="461" w:type="pct"/>
            <w:shd w:val="clear" w:color="auto" w:fill="auto"/>
            <w:noWrap/>
          </w:tcPr>
          <w:p w14:paraId="4AA9ADDF" w14:textId="77777777" w:rsidR="00ED6920" w:rsidRPr="00BF5459" w:rsidRDefault="00ED6920" w:rsidP="00D50B7E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F545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Ian Axford</w:t>
            </w:r>
          </w:p>
        </w:tc>
        <w:tc>
          <w:tcPr>
            <w:tcW w:w="722" w:type="pct"/>
          </w:tcPr>
          <w:p w14:paraId="6A80118F" w14:textId="77777777" w:rsidR="00ED6920" w:rsidRPr="00785C88" w:rsidRDefault="00ED6920" w:rsidP="00D50B7E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LGC, product safety</w:t>
            </w:r>
          </w:p>
        </w:tc>
        <w:tc>
          <w:tcPr>
            <w:tcW w:w="675" w:type="pct"/>
          </w:tcPr>
          <w:p w14:paraId="4E2E9B13" w14:textId="355416B4" w:rsidR="00ED6920" w:rsidRDefault="00ED6920" w:rsidP="00D50B7E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Also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an analytical chemist</w:t>
            </w:r>
            <w:r w:rsidR="000E4766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– need to speak with Gillian re. LGC participation as she is the </w:t>
            </w:r>
            <w:r w:rsidR="00F449E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contract manager for LGC</w:t>
            </w:r>
          </w:p>
        </w:tc>
        <w:tc>
          <w:tcPr>
            <w:tcW w:w="1306" w:type="pct"/>
          </w:tcPr>
          <w:p w14:paraId="485F2044" w14:textId="14F76C5A" w:rsidR="00374046" w:rsidRPr="001943B0" w:rsidRDefault="00374046" w:rsidP="001943B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</w:tcPr>
          <w:p w14:paraId="79F6EB9C" w14:textId="77777777" w:rsidR="00ED6920" w:rsidRDefault="00ED6920" w:rsidP="00D50B7E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C11DD1" w:rsidRPr="00785C88" w14:paraId="758B3F9F" w14:textId="77777777" w:rsidTr="001943B0">
        <w:trPr>
          <w:trHeight w:val="23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4389" w14:textId="77777777" w:rsidR="00C11DD1" w:rsidRPr="00785C88" w:rsidRDefault="00C11DD1" w:rsidP="00416634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</w:t>
            </w:r>
            <w:r w:rsidRPr="000372F0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ire retardancy and flammability studies</w:t>
            </w: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, fire models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FA3A1" w14:textId="77777777" w:rsidR="00C11DD1" w:rsidRPr="00C11DD1" w:rsidRDefault="00C11DD1" w:rsidP="00416634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C11DD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Prof. </w:t>
            </w:r>
            <w:proofErr w:type="spellStart"/>
            <w:r w:rsidRPr="00C11DD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Baljinder</w:t>
            </w:r>
            <w:proofErr w:type="spellEnd"/>
            <w:r w:rsidRPr="00C11DD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C11DD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Kandola</w:t>
            </w:r>
            <w:proofErr w:type="spellEnd"/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2E8E" w14:textId="77777777" w:rsidR="00C11DD1" w:rsidRPr="00C11DD1" w:rsidRDefault="00C11DD1" w:rsidP="00416634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11DD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University of Bolton, </w:t>
            </w:r>
            <w:hyperlink r:id="rId11" w:history="1">
              <w:r w:rsidRPr="00C11DD1">
                <w:rPr>
                  <w:rStyle w:val="Hyperlink"/>
                  <w:rFonts w:eastAsia="Times New Roman"/>
                  <w:sz w:val="18"/>
                  <w:szCs w:val="18"/>
                  <w:lang w:eastAsia="en-GB"/>
                </w:rPr>
                <w:t>https://www.bolton.ac.uk/IMRI/ResearchGroups/FireMaterials.aspx</w:t>
              </w:r>
            </w:hyperlink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54C0" w14:textId="1FA5CCEF" w:rsidR="00B9396B" w:rsidRDefault="00B9396B" w:rsidP="00416634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Academic view</w:t>
            </w:r>
          </w:p>
          <w:p w14:paraId="36B3B235" w14:textId="77777777" w:rsidR="00B9396B" w:rsidRDefault="00B9396B" w:rsidP="00416634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  <w:p w14:paraId="0DACB209" w14:textId="5412678C" w:rsidR="00C11DD1" w:rsidRDefault="006E0AA8" w:rsidP="00416634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Flame re</w:t>
            </w:r>
            <w:r w:rsidR="000C62A5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tardants, composites, Calorimetry, Nanotechnology, polymer chemistry</w:t>
            </w:r>
          </w:p>
          <w:p w14:paraId="1132965C" w14:textId="77777777" w:rsidR="00367C06" w:rsidRDefault="00367C06" w:rsidP="00416634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  <w:p w14:paraId="4737D9F9" w14:textId="0945F4A8" w:rsidR="00367C06" w:rsidRPr="00C11DD1" w:rsidRDefault="00367C06" w:rsidP="00416634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177 publications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FDDF" w14:textId="36BFE383" w:rsidR="00282DD2" w:rsidRPr="001943B0" w:rsidRDefault="00282DD2" w:rsidP="001943B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3ABC" w14:textId="77777777" w:rsidR="00C11DD1" w:rsidRPr="00C11DD1" w:rsidRDefault="00C11DD1" w:rsidP="00416634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5E52EB" w:rsidRPr="00785C88" w14:paraId="788DB422" w14:textId="77777777" w:rsidTr="001943B0">
        <w:trPr>
          <w:trHeight w:val="233"/>
        </w:trPr>
        <w:tc>
          <w:tcPr>
            <w:tcW w:w="484" w:type="pct"/>
          </w:tcPr>
          <w:p w14:paraId="05AE95A1" w14:textId="01BE85B6" w:rsidR="005E52EB" w:rsidRDefault="00C4619C" w:rsidP="00D50B7E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</w:t>
            </w:r>
            <w:r w:rsidR="00EC3C9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isks and benefits of flame retardants and the effectiveness of the UK FFRs</w:t>
            </w:r>
          </w:p>
        </w:tc>
        <w:tc>
          <w:tcPr>
            <w:tcW w:w="461" w:type="pct"/>
            <w:shd w:val="clear" w:color="auto" w:fill="auto"/>
            <w:noWrap/>
          </w:tcPr>
          <w:p w14:paraId="15AEF950" w14:textId="6F447D9A" w:rsidR="005E52EB" w:rsidRPr="00ED6A62" w:rsidRDefault="005E52EB" w:rsidP="00D50B7E">
            <w:pPr>
              <w:rPr>
                <w:rFonts w:eastAsia="Times New Roman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ED6A62">
              <w:rPr>
                <w:b/>
                <w:bCs/>
                <w:sz w:val="18"/>
                <w:szCs w:val="18"/>
              </w:rPr>
              <w:t>Professor Gary Stevens</w:t>
            </w:r>
          </w:p>
        </w:tc>
        <w:tc>
          <w:tcPr>
            <w:tcW w:w="722" w:type="pct"/>
          </w:tcPr>
          <w:p w14:paraId="749F31E6" w14:textId="34C0C362" w:rsidR="005E52EB" w:rsidRDefault="00251E16" w:rsidP="00D50B7E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51E16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Founder and Chief Executive Officer of </w:t>
            </w:r>
            <w:proofErr w:type="spellStart"/>
            <w:r w:rsidRPr="00251E16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GnoSys</w:t>
            </w:r>
            <w:proofErr w:type="spellEnd"/>
            <w:r w:rsidR="005A04D1" w:rsidRPr="005A04D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Global Ltd.</w:t>
            </w:r>
            <w:r w:rsidR="005A04D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(</w:t>
            </w:r>
            <w:r w:rsidR="00717F9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spin-out</w:t>
            </w:r>
            <w:r w:rsidR="005A04D1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from University of Surrey, retains close ties)</w:t>
            </w:r>
          </w:p>
        </w:tc>
        <w:tc>
          <w:tcPr>
            <w:tcW w:w="675" w:type="pct"/>
          </w:tcPr>
          <w:p w14:paraId="74661E32" w14:textId="53D51074" w:rsidR="00B9396B" w:rsidRDefault="00C4619C" w:rsidP="00B9396B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Independent expert</w:t>
            </w:r>
          </w:p>
          <w:p w14:paraId="20EE3E55" w14:textId="77777777" w:rsidR="005E52EB" w:rsidRDefault="005E52EB" w:rsidP="00D50B7E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  <w:p w14:paraId="1A4A3B78" w14:textId="128F5CF8" w:rsidR="00013E85" w:rsidRDefault="00013E85" w:rsidP="00D50B7E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6" w:type="pct"/>
          </w:tcPr>
          <w:p w14:paraId="2CD82843" w14:textId="3BA699B4" w:rsidR="00013E85" w:rsidRPr="001943B0" w:rsidRDefault="00013E85" w:rsidP="001943B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</w:tcPr>
          <w:p w14:paraId="7B8D589F" w14:textId="77777777" w:rsidR="005E52EB" w:rsidRDefault="005E52EB" w:rsidP="00D50B7E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9396B" w:rsidRPr="00785C88" w14:paraId="2D65EF41" w14:textId="77777777" w:rsidTr="001943B0">
        <w:trPr>
          <w:trHeight w:val="23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CB9A" w14:textId="6EDA0B1B" w:rsidR="00B9396B" w:rsidRPr="00785C88" w:rsidRDefault="00B9396B" w:rsidP="005B2E7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Fire safety engineering/</w:t>
            </w:r>
            <w:r w:rsidR="00013E85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Toxic gases re furniture and furnishings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DBCAB" w14:textId="77777777" w:rsidR="00B9396B" w:rsidRPr="00B9396B" w:rsidRDefault="00B9396B" w:rsidP="005B2E70">
            <w:pPr>
              <w:rPr>
                <w:b/>
                <w:bCs/>
                <w:sz w:val="18"/>
                <w:szCs w:val="18"/>
              </w:rPr>
            </w:pPr>
            <w:r w:rsidRPr="00B9396B">
              <w:rPr>
                <w:b/>
                <w:bCs/>
                <w:sz w:val="18"/>
                <w:szCs w:val="18"/>
              </w:rPr>
              <w:t>Richard Hull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D147" w14:textId="77777777" w:rsidR="00B9396B" w:rsidRPr="00B9396B" w:rsidRDefault="00B9396B" w:rsidP="005B2E7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9396B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UCLAN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6592" w14:textId="77777777" w:rsidR="00B9396B" w:rsidRDefault="00B9396B" w:rsidP="00B9396B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Academic view</w:t>
            </w:r>
          </w:p>
          <w:p w14:paraId="4AD84C83" w14:textId="77777777" w:rsidR="00B9396B" w:rsidRPr="00B9396B" w:rsidRDefault="00B9396B" w:rsidP="005B2E7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0E83" w14:textId="5E4C0979" w:rsidR="00B9396B" w:rsidRPr="001943B0" w:rsidRDefault="00B9396B" w:rsidP="001943B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9805" w14:textId="01636CA8" w:rsidR="00B9396B" w:rsidRPr="001943B0" w:rsidRDefault="00B9396B" w:rsidP="001943B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E0742" w:rsidRPr="00785C88" w14:paraId="1338B48D" w14:textId="77777777" w:rsidTr="001943B0">
        <w:trPr>
          <w:trHeight w:val="23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C42D" w14:textId="00F53255" w:rsidR="000E0742" w:rsidRDefault="000E0742" w:rsidP="000E0742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Conformity assessment perspective/ industry view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AD0E8" w14:textId="46EA984F" w:rsidR="00A26A6F" w:rsidRPr="00ED6A62" w:rsidRDefault="000E0742" w:rsidP="00F449E4">
            <w:pPr>
              <w:rPr>
                <w:b/>
                <w:bCs/>
                <w:sz w:val="18"/>
                <w:szCs w:val="18"/>
              </w:rPr>
            </w:pPr>
            <w:r w:rsidRPr="00ED6A62">
              <w:rPr>
                <w:b/>
                <w:bCs/>
                <w:sz w:val="18"/>
                <w:szCs w:val="18"/>
              </w:rPr>
              <w:t>Hertfordshire to nominate someone (link with FIRA)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36F7" w14:textId="77777777" w:rsidR="000E0742" w:rsidRDefault="000E0742" w:rsidP="000E0742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Trading standards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5DAC" w14:textId="690BC63A" w:rsidR="000E0742" w:rsidRDefault="0086249D" w:rsidP="000E0742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Industry view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7551" w14:textId="261459C0" w:rsidR="000E0742" w:rsidRPr="001943B0" w:rsidRDefault="000E0742" w:rsidP="001943B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5223" w14:textId="77777777" w:rsidR="000E0742" w:rsidRDefault="000E0742" w:rsidP="000E0742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84558" w:rsidRPr="00785C88" w14:paraId="4409933E" w14:textId="77777777" w:rsidTr="001943B0">
        <w:trPr>
          <w:trHeight w:val="23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D6ED" w14:textId="3189B0C4" w:rsidR="00784558" w:rsidRDefault="00784558" w:rsidP="0078455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Conformity assessment perspective/ industry view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AFE44" w14:textId="7C35C37D" w:rsidR="00ED6A62" w:rsidRPr="00ED6A62" w:rsidRDefault="00784558" w:rsidP="00013E85">
            <w:pPr>
              <w:rPr>
                <w:b/>
                <w:bCs/>
                <w:sz w:val="18"/>
                <w:szCs w:val="18"/>
              </w:rPr>
            </w:pPr>
            <w:r w:rsidRPr="00ED6A62">
              <w:rPr>
                <w:b/>
                <w:bCs/>
                <w:sz w:val="18"/>
                <w:szCs w:val="18"/>
              </w:rPr>
              <w:t xml:space="preserve">West Yorkshire </w:t>
            </w:r>
            <w:r w:rsidR="00EF4BFE" w:rsidRPr="00ED6A62">
              <w:rPr>
                <w:b/>
                <w:bCs/>
                <w:sz w:val="18"/>
                <w:szCs w:val="18"/>
              </w:rPr>
              <w:t xml:space="preserve">to nominate someone </w:t>
            </w:r>
            <w:r w:rsidRPr="00ED6A62">
              <w:rPr>
                <w:b/>
                <w:bCs/>
                <w:sz w:val="18"/>
                <w:szCs w:val="18"/>
              </w:rPr>
              <w:t>(have national Bed Federation</w:t>
            </w:r>
            <w:r w:rsidR="001044F8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4B12" w14:textId="7575CDB7" w:rsidR="00784558" w:rsidRPr="00B9775E" w:rsidRDefault="00784558" w:rsidP="0078455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Trading standards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28DE" w14:textId="3FA902EA" w:rsidR="0086249D" w:rsidRDefault="0086249D" w:rsidP="0078455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Industry view</w:t>
            </w:r>
          </w:p>
          <w:p w14:paraId="7981DF9B" w14:textId="03C09217" w:rsidR="00784558" w:rsidRPr="00C60CCC" w:rsidRDefault="00784558" w:rsidP="0078455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Could be in addition to or instead of Hertfordshire TS nominee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36FF" w14:textId="11AF7C75" w:rsidR="003A5C24" w:rsidRPr="001943B0" w:rsidRDefault="003A5C24" w:rsidP="001943B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8784" w14:textId="77777777" w:rsidR="00784558" w:rsidRPr="00C60CCC" w:rsidRDefault="00784558" w:rsidP="0078455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84558" w:rsidRPr="00785C88" w14:paraId="148BB6CB" w14:textId="77777777" w:rsidTr="001943B0">
        <w:trPr>
          <w:trHeight w:val="23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BCBD" w14:textId="1506504F" w:rsidR="00784558" w:rsidRDefault="00784558" w:rsidP="0078455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lastRenderedPageBreak/>
              <w:t>Fire testing/safety – industry representative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F98CB" w14:textId="750C09D4" w:rsidR="00784558" w:rsidRPr="00ED6A62" w:rsidRDefault="00784558" w:rsidP="00784558">
            <w:pPr>
              <w:rPr>
                <w:b/>
                <w:bCs/>
                <w:sz w:val="18"/>
                <w:szCs w:val="18"/>
              </w:rPr>
            </w:pPr>
            <w:r w:rsidRPr="00ED6A62">
              <w:rPr>
                <w:b/>
                <w:bCs/>
                <w:sz w:val="18"/>
                <w:szCs w:val="18"/>
              </w:rPr>
              <w:t xml:space="preserve">Andrew Munns attended the OPSS workshops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8096" w14:textId="77777777" w:rsidR="00784558" w:rsidRPr="00B9775E" w:rsidRDefault="00784558" w:rsidP="0078455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9775E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SATRA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AFFD" w14:textId="3DDF9997" w:rsidR="00784558" w:rsidRPr="00B9775E" w:rsidRDefault="00784558" w:rsidP="0078455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60CC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SATRA </w:t>
            </w: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is </w:t>
            </w:r>
            <w:r w:rsidRPr="00C60CC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one of the test houses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7146" w14:textId="65C8CAED" w:rsidR="00AC1F6D" w:rsidRPr="001943B0" w:rsidRDefault="00AC1F6D" w:rsidP="001943B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67B8" w14:textId="14463E18" w:rsidR="00784558" w:rsidRPr="001943B0" w:rsidRDefault="00784558" w:rsidP="001943B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784558" w:rsidRPr="00785C88" w14:paraId="114382D1" w14:textId="77777777" w:rsidTr="001943B0">
        <w:trPr>
          <w:trHeight w:val="23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21DC" w14:textId="77777777" w:rsidR="00784558" w:rsidRDefault="00784558" w:rsidP="0078455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Fire testing/safety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3B669" w14:textId="77777777" w:rsidR="00784558" w:rsidRPr="00ED6A62" w:rsidRDefault="00784558" w:rsidP="00784558">
            <w:pPr>
              <w:rPr>
                <w:b/>
                <w:bCs/>
                <w:sz w:val="18"/>
                <w:szCs w:val="18"/>
              </w:rPr>
            </w:pPr>
            <w:r w:rsidRPr="00ED6A62">
              <w:rPr>
                <w:b/>
                <w:bCs/>
                <w:sz w:val="18"/>
                <w:szCs w:val="18"/>
              </w:rPr>
              <w:t>Phil Reynolds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AA8B" w14:textId="77777777" w:rsidR="00784558" w:rsidRPr="00C60CCC" w:rsidRDefault="00784558" w:rsidP="0078455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60CC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FIRA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6C83" w14:textId="668ACF16" w:rsidR="00784558" w:rsidRPr="00C60CCC" w:rsidRDefault="00784558" w:rsidP="0078455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C60CC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FIRA is industry funded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CB84" w14:textId="48E0137B" w:rsidR="000E4766" w:rsidRPr="001943B0" w:rsidRDefault="000E4766" w:rsidP="001943B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260C" w14:textId="0E9C02E9" w:rsidR="00784558" w:rsidRPr="001943B0" w:rsidRDefault="00784558" w:rsidP="001943B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A72F0" w:rsidRPr="00785C88" w14:paraId="1E5E2274" w14:textId="77777777" w:rsidTr="001943B0">
        <w:trPr>
          <w:trHeight w:val="233"/>
        </w:trPr>
        <w:tc>
          <w:tcPr>
            <w:tcW w:w="484" w:type="pct"/>
          </w:tcPr>
          <w:p w14:paraId="13F46B52" w14:textId="77777777" w:rsidR="00EA72F0" w:rsidRDefault="00EA72F0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Fire testing/safety</w:t>
            </w:r>
          </w:p>
        </w:tc>
        <w:tc>
          <w:tcPr>
            <w:tcW w:w="461" w:type="pct"/>
            <w:shd w:val="clear" w:color="auto" w:fill="auto"/>
            <w:noWrap/>
          </w:tcPr>
          <w:p w14:paraId="22C5EC74" w14:textId="16A14B46" w:rsidR="00EA72F0" w:rsidRPr="00567E24" w:rsidRDefault="00EA72F0" w:rsidP="00443998">
            <w:pPr>
              <w:rPr>
                <w:rFonts w:eastAsia="Times New Roman"/>
                <w:color w:val="FF0000"/>
                <w:sz w:val="18"/>
                <w:szCs w:val="18"/>
                <w:lang w:eastAsia="en-GB"/>
              </w:rPr>
            </w:pPr>
            <w:r w:rsidRPr="00157293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Paul Johnson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(contact passed on from Charlie Pugsley</w:t>
            </w:r>
            <w:r w:rsidRPr="00157293">
              <w:rPr>
                <w:rFonts w:eastAsia="Times New Roman"/>
                <w:sz w:val="18"/>
                <w:szCs w:val="18"/>
                <w:lang w:eastAsia="en-GB"/>
              </w:rPr>
              <w:t>)</w:t>
            </w:r>
            <w:r w:rsidR="00B16688" w:rsidRPr="00157293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 xml:space="preserve">/ </w:t>
            </w:r>
            <w:r w:rsidR="00B16688" w:rsidRPr="001572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Prof </w:t>
            </w:r>
            <w:proofErr w:type="spellStart"/>
            <w:r w:rsidR="00B16688" w:rsidRPr="001572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Grunde</w:t>
            </w:r>
            <w:proofErr w:type="spellEnd"/>
            <w:r w:rsidR="00B16688" w:rsidRPr="001572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="00B16688" w:rsidRPr="001572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Jomaas</w:t>
            </w:r>
            <w:proofErr w:type="spellEnd"/>
            <w:r w:rsidR="00B166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(</w:t>
            </w:r>
            <w:r w:rsidR="00B16688" w:rsidRPr="00D47CE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BRE Centre for Fire Safety Engineering, University of Edinburgh</w:t>
            </w:r>
            <w:r w:rsidR="00B16688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722" w:type="pct"/>
          </w:tcPr>
          <w:p w14:paraId="1E0CD271" w14:textId="77777777" w:rsidR="00EA72F0" w:rsidRPr="00D47CEA" w:rsidRDefault="00EA72F0" w:rsidP="004439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BRE Group</w:t>
            </w:r>
          </w:p>
        </w:tc>
        <w:tc>
          <w:tcPr>
            <w:tcW w:w="675" w:type="pct"/>
          </w:tcPr>
          <w:p w14:paraId="6CF20AA5" w14:textId="77777777" w:rsidR="00EA72F0" w:rsidRDefault="00EA72F0" w:rsidP="004439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hyperlink r:id="rId12" w:history="1">
              <w:r w:rsidRPr="00E7797A">
                <w:rPr>
                  <w:rStyle w:val="Hyperlink"/>
                  <w:rFonts w:asciiTheme="minorHAnsi" w:eastAsia="Times New Roman" w:hAnsiTheme="minorHAnsi" w:cstheme="minorHAnsi"/>
                  <w:sz w:val="18"/>
                  <w:szCs w:val="18"/>
                  <w:lang w:eastAsia="en-GB"/>
                </w:rPr>
                <w:t>Paul.Johnson@bregroup.com</w:t>
              </w:r>
            </w:hyperlink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 xml:space="preserve"> – this is the main contact Charlie Pugsley deals with at BRE</w:t>
            </w:r>
          </w:p>
        </w:tc>
        <w:tc>
          <w:tcPr>
            <w:tcW w:w="1306" w:type="pct"/>
          </w:tcPr>
          <w:p w14:paraId="6CCB43BF" w14:textId="77777777" w:rsidR="00EA72F0" w:rsidRDefault="00EA72F0" w:rsidP="004439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</w:tcPr>
          <w:p w14:paraId="4CF2EC40" w14:textId="77777777" w:rsidR="00EA72F0" w:rsidRDefault="00EA72F0" w:rsidP="00443998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A26A6F" w:rsidRPr="00785C88" w14:paraId="168D34BE" w14:textId="77777777" w:rsidTr="642A21FC">
        <w:trPr>
          <w:trHeight w:val="233"/>
        </w:trPr>
        <w:tc>
          <w:tcPr>
            <w:tcW w:w="5000" w:type="pct"/>
            <w:gridSpan w:val="6"/>
          </w:tcPr>
          <w:p w14:paraId="5020D4B6" w14:textId="0183B756" w:rsidR="00A26A6F" w:rsidRPr="00567E24" w:rsidRDefault="00B30C60" w:rsidP="0078455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Further potential candidates to consider</w:t>
            </w:r>
          </w:p>
        </w:tc>
      </w:tr>
      <w:tr w:rsidR="00BA42D4" w:rsidRPr="00785C88" w14:paraId="3AC3884A" w14:textId="77777777" w:rsidTr="001943B0">
        <w:trPr>
          <w:trHeight w:val="233"/>
        </w:trPr>
        <w:tc>
          <w:tcPr>
            <w:tcW w:w="484" w:type="pct"/>
          </w:tcPr>
          <w:p w14:paraId="1A953990" w14:textId="77777777" w:rsidR="00BA42D4" w:rsidRPr="64974689" w:rsidRDefault="00BA42D4" w:rsidP="00443998">
            <w:pPr>
              <w:rPr>
                <w:rFonts w:eastAsia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en-GB"/>
              </w:rPr>
              <w:t>Chemical Toxicology</w:t>
            </w:r>
          </w:p>
        </w:tc>
        <w:tc>
          <w:tcPr>
            <w:tcW w:w="461" w:type="pct"/>
            <w:shd w:val="clear" w:color="auto" w:fill="auto"/>
            <w:noWrap/>
          </w:tcPr>
          <w:p w14:paraId="69CE016E" w14:textId="77777777" w:rsidR="00BA42D4" w:rsidRPr="00BA42D4" w:rsidRDefault="00BA42D4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A42D4">
              <w:rPr>
                <w:rFonts w:eastAsia="Times New Roman"/>
                <w:color w:val="000000" w:themeColor="text1"/>
                <w:sz w:val="18"/>
                <w:szCs w:val="18"/>
                <w:lang w:eastAsia="en-GB"/>
              </w:rPr>
              <w:t xml:space="preserve">Tim Marczylo </w:t>
            </w:r>
          </w:p>
        </w:tc>
        <w:tc>
          <w:tcPr>
            <w:tcW w:w="722" w:type="pct"/>
          </w:tcPr>
          <w:p w14:paraId="1F19DB0A" w14:textId="77777777" w:rsidR="00BA42D4" w:rsidRDefault="00BA42D4" w:rsidP="00443998">
            <w:pPr>
              <w:rPr>
                <w:rFonts w:eastAsia="Times New Roman"/>
                <w:color w:val="000000" w:themeColor="text1"/>
                <w:sz w:val="18"/>
                <w:szCs w:val="18"/>
                <w:lang w:eastAsia="en-GB"/>
              </w:rPr>
            </w:pPr>
            <w:r w:rsidRPr="00785C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PHE</w:t>
            </w:r>
          </w:p>
        </w:tc>
        <w:tc>
          <w:tcPr>
            <w:tcW w:w="675" w:type="pct"/>
          </w:tcPr>
          <w:p w14:paraId="3DF4CEB2" w14:textId="77777777" w:rsidR="00BA42D4" w:rsidRPr="00790CCF" w:rsidRDefault="00BA42D4" w:rsidP="00443998">
            <w:pPr>
              <w:rPr>
                <w:rFonts w:eastAsia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306" w:type="pct"/>
          </w:tcPr>
          <w:p w14:paraId="73AA681D" w14:textId="20AEC314" w:rsidR="00BA42D4" w:rsidRPr="001943B0" w:rsidRDefault="00BA42D4" w:rsidP="001943B0">
            <w:pPr>
              <w:rPr>
                <w:rFonts w:eastAsia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</w:tcPr>
          <w:p w14:paraId="6B691E7D" w14:textId="77777777" w:rsidR="00BA42D4" w:rsidRPr="00790CCF" w:rsidRDefault="00BA42D4" w:rsidP="00443998">
            <w:pPr>
              <w:rPr>
                <w:rFonts w:eastAsia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784558" w:rsidRPr="00785C88" w14:paraId="3509A003" w14:textId="26BCB09D" w:rsidTr="001943B0">
        <w:trPr>
          <w:trHeight w:val="233"/>
        </w:trPr>
        <w:tc>
          <w:tcPr>
            <w:tcW w:w="484" w:type="pct"/>
          </w:tcPr>
          <w:p w14:paraId="09A11778" w14:textId="77777777" w:rsidR="00784558" w:rsidRPr="00962FF6" w:rsidRDefault="00784558" w:rsidP="0078455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Fire spread</w:t>
            </w:r>
          </w:p>
        </w:tc>
        <w:tc>
          <w:tcPr>
            <w:tcW w:w="461" w:type="pct"/>
            <w:shd w:val="clear" w:color="auto" w:fill="auto"/>
            <w:noWrap/>
          </w:tcPr>
          <w:p w14:paraId="040DFA90" w14:textId="143BC32C" w:rsidR="00784558" w:rsidRPr="00B9396B" w:rsidRDefault="00784558" w:rsidP="0078455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9396B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Prof Jose Torero Cullen</w:t>
            </w:r>
          </w:p>
          <w:p w14:paraId="275220FC" w14:textId="77777777" w:rsidR="00784558" w:rsidRPr="00B9396B" w:rsidRDefault="00784558" w:rsidP="0078455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22" w:type="pct"/>
          </w:tcPr>
          <w:p w14:paraId="14C81FA4" w14:textId="77777777" w:rsidR="00784558" w:rsidRPr="00785C88" w:rsidRDefault="00784558" w:rsidP="0078455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962FF6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Professor &amp; Head of UCL Department of Civil, Environmental, Geomatic &amp; Environmental Engineering</w:t>
            </w:r>
          </w:p>
        </w:tc>
        <w:tc>
          <w:tcPr>
            <w:tcW w:w="675" w:type="pct"/>
          </w:tcPr>
          <w:p w14:paraId="5C72A3FA" w14:textId="18758B72" w:rsidR="00784558" w:rsidRPr="00962FF6" w:rsidRDefault="00784558" w:rsidP="0078455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Name also appeared on Grenfell Enquiry</w:t>
            </w:r>
          </w:p>
        </w:tc>
        <w:tc>
          <w:tcPr>
            <w:tcW w:w="1306" w:type="pct"/>
          </w:tcPr>
          <w:p w14:paraId="665D61A6" w14:textId="73F50779" w:rsidR="00784558" w:rsidRPr="001943B0" w:rsidRDefault="00784558" w:rsidP="001943B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</w:tcPr>
          <w:p w14:paraId="2FD02F28" w14:textId="6B7EA10B" w:rsidR="00784558" w:rsidRPr="001943B0" w:rsidRDefault="00784558" w:rsidP="001943B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A7B17" w:rsidRPr="00785C88" w14:paraId="174EFFA3" w14:textId="6D6DF862" w:rsidTr="001943B0">
        <w:trPr>
          <w:trHeight w:val="233"/>
        </w:trPr>
        <w:tc>
          <w:tcPr>
            <w:tcW w:w="484" w:type="pct"/>
          </w:tcPr>
          <w:p w14:paraId="001F89F4" w14:textId="77777777" w:rsidR="00EA7B17" w:rsidRDefault="00EA7B17" w:rsidP="00EA7B17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Fire ignition and spread</w:t>
            </w:r>
          </w:p>
        </w:tc>
        <w:tc>
          <w:tcPr>
            <w:tcW w:w="461" w:type="pct"/>
            <w:shd w:val="clear" w:color="auto" w:fill="auto"/>
            <w:noWrap/>
          </w:tcPr>
          <w:p w14:paraId="54FBFD6D" w14:textId="02F7ED46" w:rsidR="00EA7B17" w:rsidRDefault="00355D79" w:rsidP="00EA7B17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355D79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Robert</w:t>
            </w:r>
            <w:r w:rsidR="00EA7B17" w:rsidRPr="00B727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 xml:space="preserve"> Graham</w:t>
            </w:r>
          </w:p>
        </w:tc>
        <w:tc>
          <w:tcPr>
            <w:tcW w:w="722" w:type="pct"/>
          </w:tcPr>
          <w:p w14:paraId="623629BF" w14:textId="02DD11F1" w:rsidR="00EA7B17" w:rsidRPr="00B7278F" w:rsidRDefault="00EA7B17" w:rsidP="00EA7B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B727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 xml:space="preserve">Former </w:t>
            </w:r>
            <w:r w:rsidR="00C2712D" w:rsidRPr="00C2712D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 xml:space="preserve">assistant chief fire officer </w:t>
            </w:r>
            <w:r w:rsidRPr="00B727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 xml:space="preserve">Greater Manchester FRS </w:t>
            </w:r>
            <w:r w:rsidR="005E347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(19</w:t>
            </w:r>
            <w:r w:rsidR="005762A7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 xml:space="preserve">81-1993) </w:t>
            </w:r>
            <w:r w:rsidRPr="00B727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&amp; former</w:t>
            </w:r>
          </w:p>
          <w:p w14:paraId="52EC62DF" w14:textId="3CF6E86D" w:rsidR="00EA7B17" w:rsidRDefault="00EA7B17" w:rsidP="00EA7B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  <w:r w:rsidRPr="00B7278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Adviser to EU on the causes of deaths from foam filled furniture</w:t>
            </w:r>
            <w:r w:rsidR="00996EE1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, Executive Director at</w:t>
            </w:r>
            <w:r w:rsidR="00BF4CDA">
              <w:t xml:space="preserve"> </w:t>
            </w:r>
            <w:r w:rsidR="00BF4CDA" w:rsidRPr="00BF4CDA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  <w:t>Alliance for Consumer Fire Safety in Europe</w:t>
            </w:r>
          </w:p>
        </w:tc>
        <w:tc>
          <w:tcPr>
            <w:tcW w:w="675" w:type="pct"/>
          </w:tcPr>
          <w:p w14:paraId="5199E0B9" w14:textId="77777777" w:rsidR="00EA7B17" w:rsidRDefault="00EA7B17" w:rsidP="00EA7B17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6" w:type="pct"/>
          </w:tcPr>
          <w:p w14:paraId="7962D2C1" w14:textId="2E7D2256" w:rsidR="00EA7B17" w:rsidRPr="001943B0" w:rsidRDefault="00EA7B17" w:rsidP="001943B0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</w:tcPr>
          <w:p w14:paraId="2EDEB047" w14:textId="38213224" w:rsidR="00996EE1" w:rsidRPr="00F449E4" w:rsidRDefault="00996EE1" w:rsidP="00E555DD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A7B17" w:rsidRPr="00785C88" w14:paraId="6FEB2AC2" w14:textId="0ABAD8DE" w:rsidTr="001943B0">
        <w:trPr>
          <w:trHeight w:val="233"/>
        </w:trPr>
        <w:tc>
          <w:tcPr>
            <w:tcW w:w="484" w:type="pct"/>
          </w:tcPr>
          <w:p w14:paraId="4C1553D7" w14:textId="77777777" w:rsidR="00EA7B17" w:rsidRDefault="00EA7B17" w:rsidP="00EA7B17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Fire spread and evacuation modelling</w:t>
            </w:r>
          </w:p>
        </w:tc>
        <w:tc>
          <w:tcPr>
            <w:tcW w:w="461" w:type="pct"/>
            <w:shd w:val="clear" w:color="auto" w:fill="auto"/>
            <w:noWrap/>
          </w:tcPr>
          <w:p w14:paraId="693E39D7" w14:textId="77777777" w:rsidR="00EA7B17" w:rsidRDefault="00EA7B17" w:rsidP="00EA7B17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Prof Edwin Galea</w:t>
            </w:r>
          </w:p>
        </w:tc>
        <w:tc>
          <w:tcPr>
            <w:tcW w:w="722" w:type="pct"/>
          </w:tcPr>
          <w:p w14:paraId="133DEC09" w14:textId="77777777" w:rsidR="00EA7B17" w:rsidRDefault="00EA7B17" w:rsidP="00EA7B17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University of Greenwich</w:t>
            </w:r>
          </w:p>
        </w:tc>
        <w:tc>
          <w:tcPr>
            <w:tcW w:w="675" w:type="pct"/>
          </w:tcPr>
          <w:p w14:paraId="4994E392" w14:textId="335792B2" w:rsidR="00EA7B17" w:rsidRDefault="00161522" w:rsidP="00EA7B17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16152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He </w:t>
            </w: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</w:t>
            </w:r>
            <w:r w:rsidRPr="0016152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erves on </w:t>
            </w:r>
            <w:proofErr w:type="gramStart"/>
            <w:r w:rsidRPr="0016152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 number of</w:t>
            </w:r>
            <w:proofErr w:type="gramEnd"/>
            <w:r w:rsidRPr="0016152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standards committees concerned with fire and evacuation for organisations such as IMO, ISO, BSI and the SFPE Task Group on Human Behaviour in Fire.</w:t>
            </w:r>
          </w:p>
        </w:tc>
        <w:tc>
          <w:tcPr>
            <w:tcW w:w="1306" w:type="pct"/>
          </w:tcPr>
          <w:p w14:paraId="706F7548" w14:textId="119B03E7" w:rsidR="00EA7B17" w:rsidRPr="001943B0" w:rsidRDefault="00EA7B17" w:rsidP="001943B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</w:tcPr>
          <w:p w14:paraId="3D1E6902" w14:textId="116AA5BB" w:rsidR="00EA7B17" w:rsidRDefault="00EA7B17" w:rsidP="00EA7B17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A7B17" w:rsidRPr="00785C88" w14:paraId="6001DA65" w14:textId="006CA8F7" w:rsidTr="001943B0">
        <w:trPr>
          <w:trHeight w:val="233"/>
        </w:trPr>
        <w:tc>
          <w:tcPr>
            <w:tcW w:w="484" w:type="pct"/>
          </w:tcPr>
          <w:p w14:paraId="2BD442B3" w14:textId="77777777" w:rsidR="00EA7B17" w:rsidRDefault="00EA7B17" w:rsidP="00EA7B17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Fire testing</w:t>
            </w:r>
          </w:p>
        </w:tc>
        <w:tc>
          <w:tcPr>
            <w:tcW w:w="461" w:type="pct"/>
            <w:shd w:val="clear" w:color="auto" w:fill="auto"/>
            <w:noWrap/>
          </w:tcPr>
          <w:p w14:paraId="090F8800" w14:textId="77777777" w:rsidR="00EA7B17" w:rsidRDefault="00EA7B17" w:rsidP="00EA7B17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Dale Brockbank (Speak to Martyn Bowden)</w:t>
            </w:r>
          </w:p>
        </w:tc>
        <w:tc>
          <w:tcPr>
            <w:tcW w:w="722" w:type="pct"/>
          </w:tcPr>
          <w:p w14:paraId="33E1199B" w14:textId="77777777" w:rsidR="00EA7B17" w:rsidRDefault="00EA7B17" w:rsidP="00EA7B17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West Yorkshire Scientific Services</w:t>
            </w:r>
          </w:p>
        </w:tc>
        <w:tc>
          <w:tcPr>
            <w:tcW w:w="675" w:type="pct"/>
          </w:tcPr>
          <w:p w14:paraId="5DA00C39" w14:textId="50928D6F" w:rsidR="00EA7B17" w:rsidRDefault="002A692A" w:rsidP="00EA7B17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Provide analytical and consultancy services</w:t>
            </w:r>
          </w:p>
        </w:tc>
        <w:tc>
          <w:tcPr>
            <w:tcW w:w="1306" w:type="pct"/>
          </w:tcPr>
          <w:p w14:paraId="7546C28B" w14:textId="77777777" w:rsidR="00EA7B17" w:rsidRDefault="00EA7B17" w:rsidP="00EA7B17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</w:tcPr>
          <w:p w14:paraId="639ACCC4" w14:textId="0E3BE31C" w:rsidR="007F78BC" w:rsidRPr="001943B0" w:rsidRDefault="007F78BC" w:rsidP="001943B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1C3029" w:rsidRPr="00785C88" w14:paraId="055A3157" w14:textId="18EFE08D" w:rsidTr="001943B0">
        <w:trPr>
          <w:trHeight w:val="233"/>
        </w:trPr>
        <w:tc>
          <w:tcPr>
            <w:tcW w:w="484" w:type="pct"/>
          </w:tcPr>
          <w:p w14:paraId="42243FEA" w14:textId="77777777" w:rsidR="001C3029" w:rsidRPr="00785C88" w:rsidRDefault="001C3029" w:rsidP="001C3029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Fire risk assessment</w:t>
            </w:r>
          </w:p>
        </w:tc>
        <w:tc>
          <w:tcPr>
            <w:tcW w:w="461" w:type="pct"/>
            <w:shd w:val="clear" w:color="auto" w:fill="auto"/>
            <w:noWrap/>
          </w:tcPr>
          <w:p w14:paraId="03B4CB14" w14:textId="77777777" w:rsidR="001C3029" w:rsidRDefault="001C3029" w:rsidP="001C3029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Colin Todd</w:t>
            </w:r>
          </w:p>
        </w:tc>
        <w:tc>
          <w:tcPr>
            <w:tcW w:w="722" w:type="pct"/>
          </w:tcPr>
          <w:p w14:paraId="49DF744A" w14:textId="622DB72A" w:rsidR="001C3029" w:rsidRDefault="001C3029" w:rsidP="001C3029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MD of S.C. Todd and Associates - consultancy</w:t>
            </w:r>
          </w:p>
        </w:tc>
        <w:tc>
          <w:tcPr>
            <w:tcW w:w="675" w:type="pct"/>
          </w:tcPr>
          <w:p w14:paraId="1C7D134D" w14:textId="77777777" w:rsidR="001C3029" w:rsidRDefault="001C3029" w:rsidP="001C3029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6" w:type="pct"/>
          </w:tcPr>
          <w:p w14:paraId="1012280F" w14:textId="317F1247" w:rsidR="001C3029" w:rsidRPr="001943B0" w:rsidRDefault="001C3029" w:rsidP="001943B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</w:tcPr>
          <w:p w14:paraId="45864B2D" w14:textId="3C8ABCF0" w:rsidR="001C3029" w:rsidRPr="001943B0" w:rsidRDefault="001C3029" w:rsidP="001943B0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1C3029" w:rsidRPr="00785C88" w14:paraId="10B98545" w14:textId="3BEF17ED" w:rsidTr="001943B0">
        <w:trPr>
          <w:trHeight w:val="233"/>
        </w:trPr>
        <w:tc>
          <w:tcPr>
            <w:tcW w:w="484" w:type="pct"/>
          </w:tcPr>
          <w:p w14:paraId="70238B34" w14:textId="77777777" w:rsidR="001C3029" w:rsidRPr="00785C88" w:rsidRDefault="001C3029" w:rsidP="001C3029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</w:t>
            </w:r>
            <w:r w:rsidRPr="00E216E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roviding advice to Government on policy standards, regulation based on research carried out by him and his team</w:t>
            </w:r>
          </w:p>
        </w:tc>
        <w:tc>
          <w:tcPr>
            <w:tcW w:w="461" w:type="pct"/>
            <w:shd w:val="clear" w:color="auto" w:fill="auto"/>
            <w:noWrap/>
          </w:tcPr>
          <w:p w14:paraId="1EA0375D" w14:textId="3A2693BE" w:rsidR="001C3029" w:rsidRPr="00785C88" w:rsidRDefault="001C3029" w:rsidP="001C3029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Julian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Braybrook</w:t>
            </w:r>
            <w:proofErr w:type="spellEnd"/>
          </w:p>
        </w:tc>
        <w:tc>
          <w:tcPr>
            <w:tcW w:w="722" w:type="pct"/>
          </w:tcPr>
          <w:p w14:paraId="0378ACCD" w14:textId="276072F3" w:rsidR="001C3029" w:rsidRPr="00785C88" w:rsidRDefault="00792EB3" w:rsidP="001C3029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Appointed UK </w:t>
            </w:r>
            <w:r w:rsidR="001C3029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Government Chemist</w:t>
            </w: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in 2018</w:t>
            </w:r>
          </w:p>
        </w:tc>
        <w:tc>
          <w:tcPr>
            <w:tcW w:w="675" w:type="pct"/>
          </w:tcPr>
          <w:p w14:paraId="4789E8EC" w14:textId="77777777" w:rsidR="001C3029" w:rsidRDefault="001C3029" w:rsidP="001C3029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6" w:type="pct"/>
          </w:tcPr>
          <w:p w14:paraId="7EFB7D44" w14:textId="05CFB721" w:rsidR="001C3029" w:rsidRDefault="001C3029" w:rsidP="0056429B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</w:tcPr>
          <w:p w14:paraId="5E75BC88" w14:textId="72ECE9BC" w:rsidR="001C3029" w:rsidRDefault="001C3029" w:rsidP="0056429B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A544FD" w:rsidRPr="00785C88" w14:paraId="35BB68AE" w14:textId="77777777" w:rsidTr="00A544FD">
        <w:trPr>
          <w:trHeight w:val="23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A774" w14:textId="77777777" w:rsidR="00A544FD" w:rsidRDefault="00A544FD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Fillings expert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6D6B9" w14:textId="77777777" w:rsidR="00A544FD" w:rsidRDefault="00A544FD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Stephen Midgley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38EA" w14:textId="77777777" w:rsidR="00A544FD" w:rsidRDefault="00A544FD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John Cotton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74AD" w14:textId="77777777" w:rsidR="00A544FD" w:rsidRDefault="00A544FD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Fillings expert - </w:t>
            </w:r>
            <w:r w:rsidRPr="00E65460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He said the National Fillings Association still exists but </w:t>
            </w:r>
            <w:proofErr w:type="gramStart"/>
            <w:r w:rsidRPr="00E65460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it’s</w:t>
            </w:r>
            <w:proofErr w:type="gramEnd"/>
            <w:r w:rsidRPr="00E65460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basically just a few fillings manufacturers, that only come together when there are matters which affect the industry, hence no website.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DA81" w14:textId="77777777" w:rsidR="00A544FD" w:rsidRDefault="00A544FD" w:rsidP="00443998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4F8A" w14:textId="77777777" w:rsidR="00A544FD" w:rsidRDefault="00A544FD" w:rsidP="00443998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817561" w:rsidRPr="00785C88" w14:paraId="40D3BDF7" w14:textId="77777777" w:rsidTr="001943B0">
        <w:trPr>
          <w:trHeight w:val="233"/>
        </w:trPr>
        <w:tc>
          <w:tcPr>
            <w:tcW w:w="484" w:type="pct"/>
          </w:tcPr>
          <w:p w14:paraId="4667C6B0" w14:textId="427BC158" w:rsidR="00817561" w:rsidRDefault="00817561" w:rsidP="001C3029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Upholstery trade association</w:t>
            </w:r>
          </w:p>
        </w:tc>
        <w:tc>
          <w:tcPr>
            <w:tcW w:w="461" w:type="pct"/>
            <w:shd w:val="clear" w:color="auto" w:fill="auto"/>
            <w:noWrap/>
          </w:tcPr>
          <w:p w14:paraId="163E1FFD" w14:textId="697CFCFC" w:rsidR="00817561" w:rsidRDefault="00817561" w:rsidP="001C3029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Wendy Shorter-Blake</w:t>
            </w:r>
          </w:p>
        </w:tc>
        <w:tc>
          <w:tcPr>
            <w:tcW w:w="722" w:type="pct"/>
          </w:tcPr>
          <w:p w14:paraId="685DDC6A" w14:textId="220F8A3E" w:rsidR="00817561" w:rsidRDefault="00817561" w:rsidP="001C3029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The Association of Master Upholsterers and Soft Furnishers (AMUSF)</w:t>
            </w:r>
          </w:p>
        </w:tc>
        <w:tc>
          <w:tcPr>
            <w:tcW w:w="675" w:type="pct"/>
          </w:tcPr>
          <w:p w14:paraId="73DDAE7D" w14:textId="0851F8B3" w:rsidR="00817561" w:rsidRDefault="00817561" w:rsidP="001C3029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Attended OPSS stakeholder event in London 2020</w:t>
            </w:r>
          </w:p>
        </w:tc>
        <w:tc>
          <w:tcPr>
            <w:tcW w:w="1306" w:type="pct"/>
          </w:tcPr>
          <w:p w14:paraId="1A7BE567" w14:textId="77777777" w:rsidR="00817561" w:rsidRDefault="00817561" w:rsidP="0056429B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</w:tcPr>
          <w:p w14:paraId="1E1C5ACA" w14:textId="77777777" w:rsidR="00817561" w:rsidRDefault="00817561" w:rsidP="0056429B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12888" w:rsidRPr="008430CD" w14:paraId="110482F5" w14:textId="77777777" w:rsidTr="00B12888">
        <w:trPr>
          <w:trHeight w:val="23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6E6D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Baby Products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23AA4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Keith Richards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86E8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Baby Products Association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709D" w14:textId="69BDAE95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Could be useful when discussing whether baby products are in scope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F3F3" w14:textId="77777777" w:rsidR="00B12888" w:rsidRPr="00B12888" w:rsidRDefault="00B12888" w:rsidP="00B12888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A4F8" w14:textId="77777777" w:rsidR="00B12888" w:rsidRPr="00B12888" w:rsidRDefault="00B12888" w:rsidP="00B12888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12888" w:rsidRPr="008430CD" w14:paraId="597B6A1D" w14:textId="77777777" w:rsidTr="00B12888">
        <w:trPr>
          <w:trHeight w:val="23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A1B4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Retail trade association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87923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Dave Winsor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3292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British Retail Consortium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D271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The BRC are members of CW/15 Safety of toys, various </w:t>
            </w:r>
            <w:proofErr w:type="gramStart"/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textiles</w:t>
            </w:r>
            <w:proofErr w:type="gramEnd"/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and other BSI committees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3D3A" w14:textId="77777777" w:rsidR="00B12888" w:rsidRPr="00B12888" w:rsidRDefault="00B12888" w:rsidP="00B12888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9D6E" w14:textId="77777777" w:rsidR="00B12888" w:rsidRPr="00B12888" w:rsidRDefault="00B12888" w:rsidP="00B12888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12888" w:rsidRPr="008430CD" w14:paraId="485B86E3" w14:textId="77777777" w:rsidTr="00B12888">
        <w:trPr>
          <w:trHeight w:val="23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BC9D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Furniture Manufacturers trade association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ACA51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Steve Moore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8C39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British Furniture Manufacturers' Association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37DB" w14:textId="1DF469E8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9B88" w14:textId="77777777" w:rsidR="00B12888" w:rsidRPr="00B12888" w:rsidRDefault="00B12888" w:rsidP="00B12888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9B7A" w14:textId="77777777" w:rsidR="00B12888" w:rsidRPr="00B12888" w:rsidRDefault="00B12888" w:rsidP="00B12888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12888" w:rsidRPr="008430CD" w14:paraId="353ED7D7" w14:textId="77777777" w:rsidTr="00B12888">
        <w:trPr>
          <w:trHeight w:val="23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9E0F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Testing trade association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69F5B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Peter Russell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5448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British Measurement and Testing Association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090E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08B8" w14:textId="77777777" w:rsidR="00B12888" w:rsidRPr="00B12888" w:rsidRDefault="00B12888" w:rsidP="00B12888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23E" w14:textId="77777777" w:rsidR="00B12888" w:rsidRPr="00B12888" w:rsidRDefault="00B12888" w:rsidP="00B12888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12888" w:rsidRPr="008430CD" w14:paraId="1A5E9631" w14:textId="77777777" w:rsidTr="00B12888">
        <w:trPr>
          <w:trHeight w:val="23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78B2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Fire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639ED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Jason </w:t>
            </w:r>
            <w:proofErr w:type="spellStart"/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Thelwell</w:t>
            </w:r>
            <w:proofErr w:type="spellEnd"/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or </w:t>
            </w:r>
            <w:proofErr w:type="spellStart"/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Anneli</w:t>
            </w:r>
            <w:proofErr w:type="spellEnd"/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McCallum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1D34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National Fire Chiefs Council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2125" w14:textId="6887AFA9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They are both members of BSI's FSH/0 committee.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4655" w14:textId="77777777" w:rsidR="00B12888" w:rsidRPr="00B12888" w:rsidRDefault="00B12888" w:rsidP="00B12888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0612" w14:textId="77777777" w:rsidR="00B12888" w:rsidRPr="00B12888" w:rsidRDefault="00B12888" w:rsidP="00B12888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12888" w:rsidRPr="008430CD" w14:paraId="5A262481" w14:textId="77777777" w:rsidTr="00B12888">
        <w:trPr>
          <w:trHeight w:val="23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8B60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Fire trade association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3B6D8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Martin Harvey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558F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Fire Industry Association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27AA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Fire trade association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80FF" w14:textId="77777777" w:rsidR="00B12888" w:rsidRPr="00B12888" w:rsidRDefault="00B12888" w:rsidP="00B12888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811E" w14:textId="77777777" w:rsidR="00B12888" w:rsidRPr="00B12888" w:rsidRDefault="00B12888" w:rsidP="00B12888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12888" w:rsidRPr="008430CD" w14:paraId="0BA892F1" w14:textId="77777777" w:rsidTr="00B12888">
        <w:trPr>
          <w:trHeight w:val="23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4315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Textiles – Committee Chair and textiles testing laboratory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1246B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Dr.</w:t>
            </w:r>
            <w:proofErr w:type="spellEnd"/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Tony Sagar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E1A8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Shirley Technologies testing laboratory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BA20" w14:textId="386AE4CD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Chair of BSI's main textiles committee TCI/100, </w:t>
            </w:r>
            <w:proofErr w:type="gramStart"/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and also</w:t>
            </w:r>
            <w:proofErr w:type="gramEnd"/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TCI/80 Chemical testing of textiles.</w:t>
            </w:r>
          </w:p>
          <w:p w14:paraId="59C8647F" w14:textId="5359F0C9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He is a member of practically </w:t>
            </w:r>
            <w:r w:rsidR="00861F6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all </w:t>
            </w: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the textiles committees.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342D" w14:textId="77777777" w:rsidR="00B12888" w:rsidRPr="00B12888" w:rsidRDefault="00B12888" w:rsidP="00B12888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8C99" w14:textId="77777777" w:rsidR="00B12888" w:rsidRPr="00B12888" w:rsidRDefault="00B12888" w:rsidP="00B12888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12888" w:rsidRPr="008430CD" w14:paraId="59BB4E2E" w14:textId="77777777" w:rsidTr="00B12888">
        <w:trPr>
          <w:trHeight w:val="23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D45B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Textiles – Committee Chair for BSI burning behaviour of textiles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498BA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Sue Bolton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E01A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Sue Bolton Consultancy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18B2" w14:textId="3C7729AF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Chair of BSI's TCI/66/-/8 Burning behaviour of textiles committee, member of TCI/66, Convenor of CEN/TC 248 WG20 Safety of children's clothing.   She is a member of practically all the textiles committees. Member of the Society of Dyers and Colourists.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1092" w14:textId="77777777" w:rsidR="00B12888" w:rsidRPr="00B12888" w:rsidRDefault="00B12888" w:rsidP="00B12888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9BD1" w14:textId="77777777" w:rsidR="00B12888" w:rsidRPr="00B12888" w:rsidRDefault="00B12888" w:rsidP="00B12888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12888" w:rsidRPr="008430CD" w14:paraId="5444C36D" w14:textId="77777777" w:rsidTr="00B12888">
        <w:trPr>
          <w:trHeight w:val="23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DBF8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Chemical industries trade association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37C9A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Tim Smith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1308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Chemical Industries Association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1A1C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He is a member of BSI's FW/6 committee.</w:t>
            </w:r>
          </w:p>
          <w:p w14:paraId="722175D7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B8DD" w14:textId="77777777" w:rsidR="00B12888" w:rsidRPr="00B12888" w:rsidRDefault="00B12888" w:rsidP="00B12888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9E39" w14:textId="77777777" w:rsidR="00B12888" w:rsidRPr="00B12888" w:rsidRDefault="00B12888" w:rsidP="00B12888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B12888" w:rsidRPr="008430CD" w14:paraId="65F8FA3A" w14:textId="77777777" w:rsidTr="00B12888">
        <w:trPr>
          <w:trHeight w:val="233"/>
        </w:trPr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1AD1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Textiles – Committee Chair and Convenor for flammability of textiles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3A52F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Alan Ross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CD3A" w14:textId="77777777" w:rsidR="00B12888" w:rsidRPr="00B12888" w:rsidRDefault="00B12888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HTTPS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D2AE" w14:textId="36D157F0" w:rsidR="00B12888" w:rsidRPr="00B12888" w:rsidRDefault="00A544FD" w:rsidP="00443998">
            <w:pPr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H</w:t>
            </w:r>
            <w:r w:rsidR="00B12888" w:rsidRPr="00B12888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e is Chair of BSI's TCI/24 Physical testing of textiles, Convenor of CEN/TC 248/WG 24 "Test methods for the flammability of textiles" and a member of most of BSI's textiles committees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484A" w14:textId="77777777" w:rsidR="00B12888" w:rsidRPr="00B12888" w:rsidRDefault="00B12888" w:rsidP="00B12888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F8A6" w14:textId="77777777" w:rsidR="00B12888" w:rsidRPr="00B12888" w:rsidRDefault="00B12888" w:rsidP="00B12888">
            <w:pPr>
              <w:pStyle w:val="ListParagraph"/>
              <w:ind w:left="36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672A6659" w14:textId="77777777" w:rsidR="00DF79A5" w:rsidRDefault="00DF79A5"/>
    <w:sectPr w:rsidR="00DF79A5" w:rsidSect="00130DC8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8F558" w14:textId="77777777" w:rsidR="00DE5355" w:rsidRDefault="00DE5355">
      <w:r>
        <w:separator/>
      </w:r>
    </w:p>
  </w:endnote>
  <w:endnote w:type="continuationSeparator" w:id="0">
    <w:p w14:paraId="195DF11F" w14:textId="77777777" w:rsidR="00DE5355" w:rsidRDefault="00DE5355">
      <w:r>
        <w:continuationSeparator/>
      </w:r>
    </w:p>
  </w:endnote>
  <w:endnote w:type="continuationNotice" w:id="1">
    <w:p w14:paraId="1B4D41B5" w14:textId="77777777" w:rsidR="00DE5355" w:rsidRDefault="00DE5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2E547" w14:textId="77777777" w:rsidR="00DE5355" w:rsidRDefault="00DE5355">
      <w:r>
        <w:separator/>
      </w:r>
    </w:p>
  </w:footnote>
  <w:footnote w:type="continuationSeparator" w:id="0">
    <w:p w14:paraId="002176E1" w14:textId="77777777" w:rsidR="00DE5355" w:rsidRDefault="00DE5355">
      <w:r>
        <w:continuationSeparator/>
      </w:r>
    </w:p>
  </w:footnote>
  <w:footnote w:type="continuationNotice" w:id="1">
    <w:p w14:paraId="345D7581" w14:textId="77777777" w:rsidR="00DE5355" w:rsidRDefault="00DE53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1AE93" w14:textId="3FB08F8B" w:rsidR="00D50B7E" w:rsidRDefault="0039245F">
    <w:pPr>
      <w:pStyle w:val="Header"/>
    </w:pPr>
    <w:r>
      <w:t xml:space="preserve">June </w:t>
    </w:r>
    <w:r w:rsidR="00D50B7E">
      <w:t>2020</w:t>
    </w:r>
    <w:r w:rsidR="00B25D4C">
      <w:tab/>
    </w:r>
    <w:r w:rsidR="00B25D4C">
      <w:tab/>
      <w:t>Official-Sensitive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FA1883"/>
    <w:multiLevelType w:val="hybridMultilevel"/>
    <w:tmpl w:val="2BAE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64ACB"/>
    <w:multiLevelType w:val="hybridMultilevel"/>
    <w:tmpl w:val="29784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5B"/>
    <w:rsid w:val="000005AF"/>
    <w:rsid w:val="00010528"/>
    <w:rsid w:val="00013E85"/>
    <w:rsid w:val="00014ADC"/>
    <w:rsid w:val="00035729"/>
    <w:rsid w:val="00040642"/>
    <w:rsid w:val="00052302"/>
    <w:rsid w:val="000679D5"/>
    <w:rsid w:val="00082397"/>
    <w:rsid w:val="00085582"/>
    <w:rsid w:val="00091F5D"/>
    <w:rsid w:val="000A2D02"/>
    <w:rsid w:val="000B1F2E"/>
    <w:rsid w:val="000C62A5"/>
    <w:rsid w:val="000E0742"/>
    <w:rsid w:val="000E4766"/>
    <w:rsid w:val="000E68B0"/>
    <w:rsid w:val="00102156"/>
    <w:rsid w:val="00102476"/>
    <w:rsid w:val="001044F8"/>
    <w:rsid w:val="00111FD1"/>
    <w:rsid w:val="00130DC8"/>
    <w:rsid w:val="00146058"/>
    <w:rsid w:val="00151113"/>
    <w:rsid w:val="00157293"/>
    <w:rsid w:val="00161522"/>
    <w:rsid w:val="0018335E"/>
    <w:rsid w:val="0019365D"/>
    <w:rsid w:val="001943B0"/>
    <w:rsid w:val="001B49CB"/>
    <w:rsid w:val="001C3029"/>
    <w:rsid w:val="001D797B"/>
    <w:rsid w:val="001F275F"/>
    <w:rsid w:val="001F4854"/>
    <w:rsid w:val="002020B2"/>
    <w:rsid w:val="002370E8"/>
    <w:rsid w:val="00251E16"/>
    <w:rsid w:val="002665D7"/>
    <w:rsid w:val="00282DD2"/>
    <w:rsid w:val="00291267"/>
    <w:rsid w:val="00291F6E"/>
    <w:rsid w:val="00297E67"/>
    <w:rsid w:val="002A40D1"/>
    <w:rsid w:val="002A692A"/>
    <w:rsid w:val="002C2031"/>
    <w:rsid w:val="003330C8"/>
    <w:rsid w:val="00355D79"/>
    <w:rsid w:val="00367C06"/>
    <w:rsid w:val="00374046"/>
    <w:rsid w:val="0039245F"/>
    <w:rsid w:val="003A5C24"/>
    <w:rsid w:val="003C3204"/>
    <w:rsid w:val="003C72A0"/>
    <w:rsid w:val="003F5B23"/>
    <w:rsid w:val="00435F3A"/>
    <w:rsid w:val="004422AD"/>
    <w:rsid w:val="00454226"/>
    <w:rsid w:val="004A372C"/>
    <w:rsid w:val="004B10CC"/>
    <w:rsid w:val="004D6AD6"/>
    <w:rsid w:val="0056429B"/>
    <w:rsid w:val="00567E24"/>
    <w:rsid w:val="005762A7"/>
    <w:rsid w:val="00582C81"/>
    <w:rsid w:val="005A04D1"/>
    <w:rsid w:val="005A73F9"/>
    <w:rsid w:val="005D1D42"/>
    <w:rsid w:val="005E3473"/>
    <w:rsid w:val="005E4703"/>
    <w:rsid w:val="005E52EB"/>
    <w:rsid w:val="00612339"/>
    <w:rsid w:val="00615F56"/>
    <w:rsid w:val="00642036"/>
    <w:rsid w:val="00686281"/>
    <w:rsid w:val="006A00AF"/>
    <w:rsid w:val="006A674A"/>
    <w:rsid w:val="006C2058"/>
    <w:rsid w:val="006C29A9"/>
    <w:rsid w:val="006C4612"/>
    <w:rsid w:val="006C7CF2"/>
    <w:rsid w:val="006D5DB0"/>
    <w:rsid w:val="006D608A"/>
    <w:rsid w:val="006E0AA8"/>
    <w:rsid w:val="00717F94"/>
    <w:rsid w:val="00726B2E"/>
    <w:rsid w:val="0073035A"/>
    <w:rsid w:val="00757C80"/>
    <w:rsid w:val="007824E7"/>
    <w:rsid w:val="00784558"/>
    <w:rsid w:val="007913EE"/>
    <w:rsid w:val="00792EB3"/>
    <w:rsid w:val="00796CFC"/>
    <w:rsid w:val="00797BCD"/>
    <w:rsid w:val="007A4D93"/>
    <w:rsid w:val="007A7B75"/>
    <w:rsid w:val="007B47CD"/>
    <w:rsid w:val="007F78BC"/>
    <w:rsid w:val="00817561"/>
    <w:rsid w:val="0081773F"/>
    <w:rsid w:val="008354B1"/>
    <w:rsid w:val="00861F68"/>
    <w:rsid w:val="0086249D"/>
    <w:rsid w:val="008776EA"/>
    <w:rsid w:val="008B6867"/>
    <w:rsid w:val="008F4066"/>
    <w:rsid w:val="009015C6"/>
    <w:rsid w:val="00903FF3"/>
    <w:rsid w:val="0092673B"/>
    <w:rsid w:val="00962C14"/>
    <w:rsid w:val="00965A2A"/>
    <w:rsid w:val="00985F89"/>
    <w:rsid w:val="00996EE1"/>
    <w:rsid w:val="00997A45"/>
    <w:rsid w:val="009B08EC"/>
    <w:rsid w:val="009E0E08"/>
    <w:rsid w:val="009E46CA"/>
    <w:rsid w:val="009E5F29"/>
    <w:rsid w:val="009E71A3"/>
    <w:rsid w:val="00A00287"/>
    <w:rsid w:val="00A227AC"/>
    <w:rsid w:val="00A26A6F"/>
    <w:rsid w:val="00A3005B"/>
    <w:rsid w:val="00A34C54"/>
    <w:rsid w:val="00A364B9"/>
    <w:rsid w:val="00A476C3"/>
    <w:rsid w:val="00A544FD"/>
    <w:rsid w:val="00A545E9"/>
    <w:rsid w:val="00A64A7F"/>
    <w:rsid w:val="00A74378"/>
    <w:rsid w:val="00AA0D2A"/>
    <w:rsid w:val="00AA6054"/>
    <w:rsid w:val="00AC1F6D"/>
    <w:rsid w:val="00B12888"/>
    <w:rsid w:val="00B16688"/>
    <w:rsid w:val="00B25D4C"/>
    <w:rsid w:val="00B30C60"/>
    <w:rsid w:val="00B33FE2"/>
    <w:rsid w:val="00B37BEB"/>
    <w:rsid w:val="00B43201"/>
    <w:rsid w:val="00B561D4"/>
    <w:rsid w:val="00B62AE8"/>
    <w:rsid w:val="00B72175"/>
    <w:rsid w:val="00B74EBA"/>
    <w:rsid w:val="00B90CB0"/>
    <w:rsid w:val="00B9396B"/>
    <w:rsid w:val="00B9775E"/>
    <w:rsid w:val="00BA42D4"/>
    <w:rsid w:val="00BA4D11"/>
    <w:rsid w:val="00BB1B9F"/>
    <w:rsid w:val="00BC63C0"/>
    <w:rsid w:val="00BE10BD"/>
    <w:rsid w:val="00BF4CDA"/>
    <w:rsid w:val="00BF5459"/>
    <w:rsid w:val="00C11DD1"/>
    <w:rsid w:val="00C2712D"/>
    <w:rsid w:val="00C32541"/>
    <w:rsid w:val="00C4619C"/>
    <w:rsid w:val="00C51BB1"/>
    <w:rsid w:val="00C60CCC"/>
    <w:rsid w:val="00C710A1"/>
    <w:rsid w:val="00C928BA"/>
    <w:rsid w:val="00CC3F3E"/>
    <w:rsid w:val="00CD4395"/>
    <w:rsid w:val="00CE5AFE"/>
    <w:rsid w:val="00CE6BE3"/>
    <w:rsid w:val="00CE74AF"/>
    <w:rsid w:val="00CF3AA1"/>
    <w:rsid w:val="00D27742"/>
    <w:rsid w:val="00D36CEC"/>
    <w:rsid w:val="00D50B7E"/>
    <w:rsid w:val="00D515DA"/>
    <w:rsid w:val="00D837F9"/>
    <w:rsid w:val="00DA3544"/>
    <w:rsid w:val="00DB4E39"/>
    <w:rsid w:val="00DC4C1F"/>
    <w:rsid w:val="00DD5B32"/>
    <w:rsid w:val="00DE5355"/>
    <w:rsid w:val="00DF0E23"/>
    <w:rsid w:val="00DF2489"/>
    <w:rsid w:val="00DF38AE"/>
    <w:rsid w:val="00DF79A5"/>
    <w:rsid w:val="00E04D07"/>
    <w:rsid w:val="00E114D4"/>
    <w:rsid w:val="00E508CB"/>
    <w:rsid w:val="00E555DD"/>
    <w:rsid w:val="00E65460"/>
    <w:rsid w:val="00E90932"/>
    <w:rsid w:val="00EA72F0"/>
    <w:rsid w:val="00EA7B17"/>
    <w:rsid w:val="00EC3C94"/>
    <w:rsid w:val="00EC3D91"/>
    <w:rsid w:val="00EC66F5"/>
    <w:rsid w:val="00ED6920"/>
    <w:rsid w:val="00ED6A62"/>
    <w:rsid w:val="00EF4BFE"/>
    <w:rsid w:val="00F02108"/>
    <w:rsid w:val="00F02792"/>
    <w:rsid w:val="00F3637B"/>
    <w:rsid w:val="00F449E4"/>
    <w:rsid w:val="00F569E0"/>
    <w:rsid w:val="00FE330B"/>
    <w:rsid w:val="0ADEB92A"/>
    <w:rsid w:val="1219DC48"/>
    <w:rsid w:val="289F6771"/>
    <w:rsid w:val="45C7ECC4"/>
    <w:rsid w:val="60E6E2FF"/>
    <w:rsid w:val="642A21FC"/>
    <w:rsid w:val="685BA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DEB92A"/>
  <w15:chartTrackingRefBased/>
  <w15:docId w15:val="{14622756-4496-4454-815F-47A08DF5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B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BC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7B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BCD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97B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7B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7BCD"/>
    <w:rPr>
      <w:rFonts w:ascii="Calibri" w:hAnsi="Calibri" w:cs="Calibri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797BCD"/>
    <w:rPr>
      <w:color w:val="2B579A"/>
      <w:shd w:val="clear" w:color="auto" w:fill="E6E6E6"/>
    </w:rPr>
  </w:style>
  <w:style w:type="paragraph" w:customStyle="1" w:styleId="Default">
    <w:name w:val="Default"/>
    <w:rsid w:val="00797B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C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E4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6CA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8354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1DD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37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ul.Johnson@bregrou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lton.ac.uk/IMRI/ResearchGroups/FireMaterials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CC7214D727F74A9B72B11953925B4E" ma:contentTypeVersion="8" ma:contentTypeDescription="Create a new document." ma:contentTypeScope="" ma:versionID="3b4d039a63000b6bfcb12db65c9aeed2">
  <xsd:schema xmlns:xsd="http://www.w3.org/2001/XMLSchema" xmlns:xs="http://www.w3.org/2001/XMLSchema" xmlns:p="http://schemas.microsoft.com/office/2006/metadata/properties" xmlns:ns2="b67a7830-db79-4a49-bf27-2aff92a2201a" xmlns:ns3="b413c3fd-5a3b-4239-b985-69032e371c04" xmlns:ns4="0063f72e-ace3-48fb-9c1f-5b513408b31f" xmlns:ns5="a8f60570-4bd3-4f2b-950b-a996de8ab151" xmlns:ns6="a172083e-e40c-4314-b43a-827352a1ed2c" xmlns:ns7="c963a4c1-1bb4-49f2-a011-9c776a7eed2a" xmlns:ns8="03d312e2-bccd-41bf-974e-cafdb8e6da1f" targetNamespace="http://schemas.microsoft.com/office/2006/metadata/properties" ma:root="true" ma:fieldsID="592e498af31e2d98f0bd44f43ff48fa1" ns2:_="" ns3:_="" ns4:_="" ns5:_="" ns6:_="" ns7:_="" ns8:_="">
    <xsd:import namespace="b67a7830-db79-4a49-bf27-2aff92a2201a"/>
    <xsd:import namespace="b413c3fd-5a3b-4239-b985-69032e371c04"/>
    <xsd:import namespace="0063f72e-ace3-48fb-9c1f-5b513408b31f"/>
    <xsd:import namespace="a8f60570-4bd3-4f2b-950b-a996de8ab151"/>
    <xsd:import namespace="a172083e-e40c-4314-b43a-827352a1ed2c"/>
    <xsd:import namespace="c963a4c1-1bb4-49f2-a011-9c776a7eed2a"/>
    <xsd:import namespace="03d312e2-bccd-41bf-974e-cafdb8e6da1f"/>
    <xsd:element name="properties">
      <xsd:complexType>
        <xsd:sequence>
          <xsd:element name="documentManagement">
            <xsd:complexType>
              <xsd:all>
                <xsd:element ref="ns2:ExternallyShared" minOccurs="0"/>
                <xsd:element ref="ns3:Document_x0020_Notes" minOccurs="0"/>
                <xsd:element ref="ns4:Security_x0020_Classification" minOccurs="0"/>
                <xsd:element ref="ns3:Handling_x0020_Instructions" minOccurs="0"/>
                <xsd:element ref="ns4:Descriptor" minOccurs="0"/>
                <xsd:element ref="ns3:Government_x0020_Body" minOccurs="0"/>
                <xsd:element ref="ns5:Retention_x0020_Label" minOccurs="0"/>
                <xsd:element ref="ns3:Date_x0020_Opened" minOccurs="0"/>
                <xsd:element ref="ns3:Date_x0020_Closed" minOccurs="0"/>
                <xsd:element ref="ns4:National_x0020_Caveat" minOccurs="0"/>
                <xsd:element ref="ns3:CIRRUSPreviousLocation" minOccurs="0"/>
                <xsd:element ref="ns3:CIRRUSPreviousID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6:LegacyDescriptor" minOccurs="0"/>
                <xsd:element ref="ns6:LegacyFolderDocumentID" minOccurs="0"/>
                <xsd:element ref="ns6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6:LegacyPhysicalFormat" minOccurs="0"/>
                <xsd:element ref="ns4:_dlc_DocIdUrl" minOccurs="0"/>
                <xsd:element ref="ns4:_dlc_DocIdPersistId" minOccurs="0"/>
                <xsd:element ref="ns7:m975189f4ba442ecbf67d4147307b177" minOccurs="0"/>
                <xsd:element ref="ns4:TaxCatchAll" minOccurs="0"/>
                <xsd:element ref="ns4:TaxCatchAllLabel" minOccurs="0"/>
                <xsd:element ref="ns4:_dlc_DocId" minOccurs="0"/>
                <xsd:element ref="ns3:CIRRUSPreviousRetentionPolicy" minOccurs="0"/>
                <xsd:element ref="ns6:LegacyCaseReferenceNumber" minOccurs="0"/>
                <xsd:element ref="ns4:SharedWithUsers" minOccurs="0"/>
                <xsd:element ref="ns4:SharedWithDetails" minOccurs="0"/>
                <xsd:element ref="ns8:MediaServiceMetadata" minOccurs="0"/>
                <xsd:element ref="ns8:MediaServiceFastMetadata" minOccurs="0"/>
                <xsd:element ref="ns8:MediaServiceAutoKeyPoints" minOccurs="0"/>
                <xsd:element ref="ns8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2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15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6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7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8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19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20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1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2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3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24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5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6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7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8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29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30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1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2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3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4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5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ReferencesToOtherItems" ma:index="47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48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LegacyAdditionalAuthors" ma:index="49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50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51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3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5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0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CIRRUSPreviousLocation" ma:index="13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4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65" nillable="true" ma:displayName="Previous Retention Policy" ma:description="The retention policy of the document in its previous location." ma:internalName="CIRRUSPreviousRetentionPolic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6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2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0" nillable="true" ma:displayName="Taxonomy Catch All Column" ma:hidden="true" ma:list="{7a443858-fa6e-4cf2-b840-4d0a346eeaf3}" ma:internalName="TaxCatchAll" ma:showField="CatchAllData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1" nillable="true" ma:displayName="Taxonomy Catch All Column1" ma:hidden="true" ma:list="{7a443858-fa6e-4cf2-b840-4d0a346eeaf3}" ma:internalName="TaxCatchAllLabel" ma:readOnly="true" ma:showField="CatchAllDataLabel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6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9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DateFileReceived" ma:index="36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37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38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39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0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1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2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3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4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45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46" nillable="true" ma:displayName="Legacy Document ID" ma:internalName="LegacyDocumentID">
      <xsd:simpleType>
        <xsd:restriction base="dms:Text">
          <xsd:maxLength value="255"/>
        </xsd:restriction>
      </xsd:simpleType>
    </xsd:element>
    <xsd:element name="LegacyPhysicalFormat" ma:index="52" nillable="true" ma:displayName="Legacy Physical Format" ma:default="0" ma:internalName="LegacyPhysicalFormat">
      <xsd:simpleType>
        <xsd:restriction base="dms:Boolean"/>
      </xsd:simpleType>
    </xsd:element>
    <xsd:element name="LegacyCaseReferenceNumber" ma:index="66" nillable="true" ma:displayName="Legacy Case Reference Number" ma:internalName="LegacyCaseReferenceNumbe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59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312e2-bccd-41bf-974e-cafdb8e6d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7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063f72e-ace3-48fb-9c1f-5b513408b31f">2QFN7KK647Q6-1177514600-12420</_dlc_DocId>
    <TaxCatchAll xmlns="0063f72e-ace3-48fb-9c1f-5b513408b31f">
      <Value>47</Value>
    </TaxCatchAll>
    <_dlc_DocIdUrl xmlns="0063f72e-ace3-48fb-9c1f-5b513408b31f">
      <Url>https://beisgov.sharepoint.com/sites/beis/352/_layouts/15/DocIdRedir.aspx?ID=2QFN7KK647Q6-1177514600-12420</Url>
      <Description>2QFN7KK647Q6-1177514600-12420</Description>
    </_dlc_DocIdUrl>
    <Government_x0020_Body xmlns="b413c3fd-5a3b-4239-b985-69032e371c04">BEIS</Government_x0020_Body>
    <Date_x0020_Opened xmlns="b413c3fd-5a3b-4239-b985-69032e371c04">2020-03-12T09:05:31+00:00</Date_x0020_Opened>
    <LegacyRecordCategoryIdentifier xmlns="b67a7830-db79-4a49-bf27-2aff92a2201a" xsi:nil="true"/>
    <LegacyDateFileRequested xmlns="a172083e-e40c-4314-b43a-827352a1ed2c" xsi:nil="true"/>
    <LegacyFolderType xmlns="b67a7830-db79-4a49-bf27-2aff92a2201a" xsi:nil="true"/>
    <LegacyRecordFolderIdentifier xmlns="b67a7830-db79-4a49-bf27-2aff92a2201a" xsi:nil="true"/>
    <LegacyFolder xmlns="b67a7830-db79-4a49-bf27-2aff92a2201a" xsi:nil="true"/>
    <LegacyMP xmlns="a172083e-e40c-4314-b43a-827352a1ed2c" xsi:nil="true"/>
    <LegacyDocumentID xmlns="a172083e-e40c-4314-b43a-827352a1ed2c" xsi:nil="true"/>
    <LegacyFolderDocumentID xmlns="a172083e-e40c-4314-b43a-827352a1ed2c" xsi:nil="true"/>
    <ExternallyShared xmlns="b67a7830-db79-4a49-bf27-2aff92a2201a" xsi:nil="true"/>
    <Descriptor xmlns="0063f72e-ace3-48fb-9c1f-5b513408b31f" xsi:nil="true"/>
    <LegacyDateFileReceived xmlns="a172083e-e40c-4314-b43a-827352a1ed2c" xsi:nil="true"/>
    <LegacyFolderLink xmlns="b67a7830-db79-4a49-bf27-2aff92a2201a" xsi:nil="true"/>
    <Document_x0020_Notes xmlns="b413c3fd-5a3b-4239-b985-69032e371c04" xsi:nil="true"/>
    <LegacyAdditionalAuthors xmlns="b67a7830-db79-4a49-bf27-2aff92a2201a" xsi:nil="true"/>
    <LegacyDocumentLink xmlns="b67a7830-db79-4a49-bf27-2aff92a2201a" xsi:nil="true"/>
    <CIRRUSPreviousLocation xmlns="b413c3fd-5a3b-4239-b985-69032e371c04" xsi:nil="true"/>
    <LegacyPhysicalItemLocation xmlns="a172083e-e40c-4314-b43a-827352a1ed2c" xsi:nil="true"/>
    <LegacyRequestType xmlns="a172083e-e40c-4314-b43a-827352a1ed2c" xsi:nil="true"/>
    <LegacyDescriptor xmlns="a172083e-e40c-4314-b43a-827352a1ed2c" xsi:nil="true"/>
    <LegacyLastModifiedDate xmlns="b67a7830-db79-4a49-bf27-2aff92a2201a" xsi:nil="true"/>
    <LegacyDateClosed xmlns="b67a7830-db79-4a49-bf27-2aff92a2201a" xsi:nil="true"/>
    <LegacyHomeLocation xmlns="b67a7830-db79-4a49-bf27-2aff92a2201a" xsi:nil="true"/>
    <LegacyExpiryReviewDate xmlns="b67a7830-db79-4a49-bf27-2aff92a2201a" xsi:nil="true"/>
    <LegacyPhysicalFormat xmlns="a172083e-e40c-4314-b43a-827352a1ed2c">false</LegacyPhysicalFormat>
    <LegacyDocumentType xmlns="b67a7830-db79-4a49-bf27-2aff92a2201a" xsi:nil="true"/>
    <LegacyReferencesFromOtherItems xmlns="b67a7830-db79-4a49-bf27-2aff92a2201a" xsi:nil="true"/>
    <LegacyLastActionDate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Implementation</TermName>
          <TermId xmlns="http://schemas.microsoft.com/office/infopath/2007/PartnerControls">7b7fc118-b849-420c-b221-ad402e02e9a4</TermId>
        </TermInfo>
      </Terms>
    </m975189f4ba442ecbf67d4147307b177>
    <Security_x0020_Classification xmlns="0063f72e-ace3-48fb-9c1f-5b513408b31f">OFFICIAL</Security_x0020_Classification>
    <CIRRUSPreviousID xmlns="b413c3fd-5a3b-4239-b985-69032e371c04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DispositionAsOfDate xmlns="b67a7830-db79-4a49-bf27-2aff92a2201a" xsi:nil="true"/>
    <LegacyMinister xmlns="a172083e-e40c-4314-b43a-827352a1ed2c" xsi:nil="true"/>
    <CIRRUSPreviousRetentionPolicy xmlns="b413c3fd-5a3b-4239-b985-69032e371c04" xsi:nil="true"/>
    <LegacyFileplanTarget xmlns="b67a7830-db79-4a49-bf27-2aff92a2201a" xsi:nil="true"/>
    <LegacyContentType xmlns="b67a7830-db79-4a49-bf27-2aff92a2201a" xsi:nil="true"/>
    <LegacyCustodian xmlns="b67a7830-db79-4a49-bf27-2aff92a2201a" xsi:nil="true"/>
    <National_x0020_Caveat xmlns="0063f72e-ace3-48fb-9c1f-5b513408b31f" xsi:nil="true"/>
    <LegacyProtectiveMarking xmlns="b67a7830-db79-4a49-bf27-2aff92a2201a" xsi:nil="true"/>
    <LegacyDateFileReturned xmlns="a172083e-e40c-4314-b43a-827352a1ed2c" xsi:nil="true"/>
    <LegacyReferencesToOtherItems xmlns="b67a7830-db79-4a49-bf27-2aff92a2201a" xsi:nil="true"/>
    <Retention_x0020_Label xmlns="a8f60570-4bd3-4f2b-950b-a996de8ab151">HMG PPP Review</Retention_x0020_Label>
    <LegacyCopyright xmlns="b67a7830-db79-4a49-bf27-2aff92a2201a" xsi:nil="true"/>
    <LegacyCaseReferenceNumber xmlns="a172083e-e40c-4314-b43a-827352a1ed2c" xsi:nil="true"/>
    <Handling_x0020_Instructions xmlns="b413c3fd-5a3b-4239-b985-69032e371c04" xsi:nil="true"/>
    <Date_x0020_Closed xmlns="b413c3fd-5a3b-4239-b985-69032e371c04" xsi:nil="true"/>
    <LegacyTags xmlns="b67a7830-db79-4a49-bf27-2aff92a2201a" xsi:nil="true"/>
    <LegacyFolderNotes xmlns="a172083e-e40c-4314-b43a-827352a1ed2c" xsi:nil="true"/>
    <LegacyNumericClass xmlns="b67a7830-db79-4a49-bf27-2aff92a2201a" xsi:nil="true"/>
    <LegacyCurrentLocation xmlns="b67a7830-db79-4a49-bf27-2aff92a2201a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A22D7AE-7D36-45E4-A016-C06C22C25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a7830-db79-4a49-bf27-2aff92a2201a"/>
    <ds:schemaRef ds:uri="b413c3fd-5a3b-4239-b985-69032e371c04"/>
    <ds:schemaRef ds:uri="0063f72e-ace3-48fb-9c1f-5b513408b31f"/>
    <ds:schemaRef ds:uri="a8f60570-4bd3-4f2b-950b-a996de8ab151"/>
    <ds:schemaRef ds:uri="a172083e-e40c-4314-b43a-827352a1ed2c"/>
    <ds:schemaRef ds:uri="c963a4c1-1bb4-49f2-a011-9c776a7eed2a"/>
    <ds:schemaRef ds:uri="03d312e2-bccd-41bf-974e-cafdb8e6d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98FC8-A7E9-43C2-98BD-94990720A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6C84F-15E3-4809-B73B-561BAF8D18F4}">
  <ds:schemaRefs>
    <ds:schemaRef ds:uri="http://schemas.openxmlformats.org/package/2006/metadata/core-properties"/>
    <ds:schemaRef ds:uri="a172083e-e40c-4314-b43a-827352a1ed2c"/>
    <ds:schemaRef ds:uri="http://purl.org/dc/terms/"/>
    <ds:schemaRef ds:uri="http://schemas.microsoft.com/office/infopath/2007/PartnerControls"/>
    <ds:schemaRef ds:uri="http://purl.org/dc/dcmitype/"/>
    <ds:schemaRef ds:uri="03d312e2-bccd-41bf-974e-cafdb8e6da1f"/>
    <ds:schemaRef ds:uri="b67a7830-db79-4a49-bf27-2aff92a2201a"/>
    <ds:schemaRef ds:uri="c963a4c1-1bb4-49f2-a011-9c776a7eed2a"/>
    <ds:schemaRef ds:uri="http://purl.org/dc/elements/1.1/"/>
    <ds:schemaRef ds:uri="http://schemas.microsoft.com/office/2006/metadata/properties"/>
    <ds:schemaRef ds:uri="http://schemas.microsoft.com/office/2006/documentManagement/types"/>
    <ds:schemaRef ds:uri="0063f72e-ace3-48fb-9c1f-5b513408b31f"/>
    <ds:schemaRef ds:uri="a8f60570-4bd3-4f2b-950b-a996de8ab151"/>
    <ds:schemaRef ds:uri="b413c3fd-5a3b-4239-b985-69032e371c0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5BF544F-2A0E-4597-B5DB-C4E64D3207D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Upson, Rebecca (BEIS)</dc:creator>
  <cp:keywords/>
  <dc:description/>
  <cp:lastModifiedBy>Upson, Rebecca (BEIS)</cp:lastModifiedBy>
  <cp:revision>137</cp:revision>
  <dcterms:created xsi:type="dcterms:W3CDTF">2020-05-19T13:22:00Z</dcterms:created>
  <dcterms:modified xsi:type="dcterms:W3CDTF">2020-05-30T21:22:00Z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0x01010034CC7214D727F74A9B72B11953925B4E</vt:lpwstr>
  </property>
  <property fmtid="{D5CDD505-2E9C-101B-9397-08002B2CF9AE}" pid="3" name="_dlc_DocIdItemGuid">
    <vt:lpwstr>b2c400e6-2e49-4e08-9fce-a6e76fa01f6c</vt:lpwstr>
  </property>
  <property fmtid="{D5CDD505-2E9C-101B-9397-08002B2CF9AE}" pid="4" name="Business Unit">
    <vt:lpwstr>47;#Policy Implementation|7b7fc118-b849-420c-b221-ad402e02e9a4</vt:lpwstr>
  </property>
  <property fmtid="{D5CDD505-2E9C-101B-9397-08002B2CF9AE}" pid="5" name="MSIP_Label_ba62f585-b40f-4ab9-bafe-39150f03d124_Enabled">
    <vt:lpwstr>true</vt:lpwstr>
  </property>
  <property fmtid="{D5CDD505-2E9C-101B-9397-08002B2CF9AE}" pid="6" name="MSIP_Label_ba62f585-b40f-4ab9-bafe-39150f03d124_SetDate">
    <vt:lpwstr>2020-03-12T09:06:04Z</vt:lpwstr>
  </property>
  <property fmtid="{D5CDD505-2E9C-101B-9397-08002B2CF9AE}" pid="7" name="MSIP_Label_ba62f585-b40f-4ab9-bafe-39150f03d124_Method">
    <vt:lpwstr>Standard</vt:lpwstr>
  </property>
  <property fmtid="{D5CDD505-2E9C-101B-9397-08002B2CF9AE}" pid="8" name="MSIP_Label_ba62f585-b40f-4ab9-bafe-39150f03d124_Name">
    <vt:lpwstr>OFFICIAL</vt:lpwstr>
  </property>
  <property fmtid="{D5CDD505-2E9C-101B-9397-08002B2CF9AE}" pid="9" name="MSIP_Label_ba62f585-b40f-4ab9-bafe-39150f03d124_SiteId">
    <vt:lpwstr>cbac7005-02c1-43eb-b497-e6492d1b2dd8</vt:lpwstr>
  </property>
  <property fmtid="{D5CDD505-2E9C-101B-9397-08002B2CF9AE}" pid="10" name="MSIP_Label_ba62f585-b40f-4ab9-bafe-39150f03d124_ActionId">
    <vt:lpwstr>f80b7c03-89b2-46f5-b509-000074a08806</vt:lpwstr>
  </property>
  <property fmtid="{D5CDD505-2E9C-101B-9397-08002B2CF9AE}" pid="11" name="MSIP_Label_ba62f585-b40f-4ab9-bafe-39150f03d124_ContentBits">
    <vt:lpwstr>0</vt:lpwstr>
  </property>
</Properties>
</file>